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A18C8">
      <w:pPr>
        <w:keepNext w:val="0"/>
        <w:keepLines w:val="0"/>
        <w:pageBreakBefore w:val="0"/>
        <w:widowControl w:val="0"/>
        <w:kinsoku/>
        <w:wordWrap/>
        <w:overflowPunct/>
        <w:topLinePunct w:val="0"/>
        <w:autoSpaceDE/>
        <w:autoSpaceDN/>
        <w:bidi w:val="0"/>
        <w:adjustRightInd/>
        <w:snapToGrid/>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遂宁市民康医院</w:t>
      </w:r>
      <w:r>
        <w:rPr>
          <w:rFonts w:hint="eastAsia" w:ascii="方正小标宋简体" w:hAnsi="方正小标宋简体" w:eastAsia="方正小标宋简体" w:cs="方正小标宋简体"/>
          <w:sz w:val="44"/>
          <w:szCs w:val="44"/>
          <w:lang w:eastAsia="zh-CN"/>
        </w:rPr>
        <w:t>残疾</w:t>
      </w:r>
      <w:r>
        <w:rPr>
          <w:rFonts w:hint="eastAsia" w:ascii="方正小标宋简体" w:hAnsi="方正小标宋简体" w:eastAsia="方正小标宋简体" w:cs="方正小标宋简体"/>
          <w:sz w:val="44"/>
          <w:szCs w:val="44"/>
          <w:lang w:val="en-US" w:eastAsia="zh-CN"/>
        </w:rPr>
        <w:t>人辅助人员服务项目方案</w:t>
      </w:r>
    </w:p>
    <w:p w14:paraId="1D4E400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一、项目背景</w:t>
      </w:r>
    </w:p>
    <w:p w14:paraId="582E5B9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为深入贯彻落实《中华人民共和国残疾人保障法》《残疾人就业条例》以及国家关于促进残疾人就业的各项政策要求</w:t>
      </w:r>
      <w:r>
        <w:rPr>
          <w:rFonts w:hint="eastAsia" w:ascii="仿宋" w:hAnsi="仿宋" w:eastAsia="仿宋" w:cs="仿宋"/>
          <w:b w:val="0"/>
          <w:bCs w:val="0"/>
          <w:sz w:val="32"/>
          <w:szCs w:val="32"/>
          <w:lang w:eastAsia="zh-CN"/>
        </w:rPr>
        <w:t>根据《四川省残疾人就业保障金征收使用管理实施办法》（川财规〔2021〕5号）</w:t>
      </w:r>
      <w:r>
        <w:rPr>
          <w:rFonts w:hint="eastAsia" w:ascii="仿宋" w:hAnsi="仿宋" w:eastAsia="仿宋" w:cs="仿宋"/>
          <w:b w:val="0"/>
          <w:bCs w:val="0"/>
          <w:sz w:val="32"/>
          <w:szCs w:val="32"/>
          <w:lang w:val="en-US" w:eastAsia="zh-CN"/>
        </w:rPr>
        <w:t>，切实履行用人单位按比例安排残疾人就业的法定义务，我院拟通过第三方劳务派遣公司，为残疾人提供</w:t>
      </w:r>
      <w:bookmarkStart w:id="0" w:name="_GoBack"/>
      <w:bookmarkEnd w:id="0"/>
      <w:r>
        <w:rPr>
          <w:rFonts w:hint="eastAsia" w:ascii="仿宋" w:hAnsi="仿宋" w:eastAsia="仿宋" w:cs="仿宋"/>
          <w:b w:val="0"/>
          <w:bCs w:val="0"/>
          <w:sz w:val="32"/>
          <w:szCs w:val="32"/>
          <w:lang w:val="en-US" w:eastAsia="zh-CN"/>
        </w:rPr>
        <w:t>工作岗位，采购残疾人就业相关服务项目。</w:t>
      </w:r>
    </w:p>
    <w:p w14:paraId="69A79215">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二、岗位要求及待遇</w:t>
      </w:r>
    </w:p>
    <w:p w14:paraId="032275B2">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（一）人数：5名</w:t>
      </w:r>
    </w:p>
    <w:p w14:paraId="238EB4E1">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（二）合同一年一签</w:t>
      </w:r>
    </w:p>
    <w:p w14:paraId="5137FDDC">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（三）岗位需求：门诊、行政等辅助岗位</w:t>
      </w:r>
    </w:p>
    <w:p w14:paraId="350EEC79">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（四）用人条件：</w:t>
      </w:r>
    </w:p>
    <w:p w14:paraId="26E6E97E">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1.学历：中专及以上</w:t>
      </w:r>
    </w:p>
    <w:p w14:paraId="1CAF7226">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2.专业：不限</w:t>
      </w:r>
    </w:p>
    <w:p w14:paraId="299E1D4E">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3.性别：不限</w:t>
      </w:r>
    </w:p>
    <w:p w14:paraId="17840AB4">
      <w:pPr>
        <w:keepNext w:val="0"/>
        <w:keepLines w:val="0"/>
        <w:pageBreakBefore w:val="0"/>
        <w:widowControl w:val="0"/>
        <w:numPr>
          <w:ilvl w:val="0"/>
          <w:numId w:val="0"/>
        </w:numPr>
        <w:kinsoku/>
        <w:wordWrap/>
        <w:overflowPunct/>
        <w:topLinePunct w:val="0"/>
        <w:autoSpaceDE/>
        <w:autoSpaceDN/>
        <w:bidi w:val="0"/>
        <w:adjustRightInd/>
        <w:snapToGrid/>
        <w:ind w:firstLine="64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4.年龄：45周岁及以下  </w:t>
      </w:r>
    </w:p>
    <w:p w14:paraId="5EE68E4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ascii="仿宋" w:hAnsi="仿宋" w:eastAsia="仿宋" w:cs="仿宋"/>
          <w:color w:val="333333"/>
          <w:sz w:val="32"/>
          <w:szCs w:val="32"/>
          <w:lang w:val="en-US"/>
        </w:rPr>
      </w:pPr>
      <w:r>
        <w:rPr>
          <w:rFonts w:hint="eastAsia" w:ascii="仿宋" w:hAnsi="仿宋" w:eastAsia="仿宋" w:cs="仿宋"/>
          <w:sz w:val="32"/>
          <w:szCs w:val="32"/>
          <w:lang w:val="en-US" w:eastAsia="zh-CN"/>
        </w:rPr>
        <w:t>（五）劳务服务费</w:t>
      </w:r>
    </w:p>
    <w:p w14:paraId="376B95F8">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预算人数：5名，预算价格：26万/年;劳务服务费5.2万元/人/年，其中工资≥3000元/人/月（含保险自付部分），保险（单位部分）≥1200元/人/月，过节费≥1000元/人/年及管理费≤600元/人/年）。</w:t>
      </w:r>
    </w:p>
    <w:p w14:paraId="4D295118">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备注：实际人数及工作时间，据实结算。</w:t>
      </w:r>
    </w:p>
    <w:p w14:paraId="280EBAD8">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default" w:ascii="仿宋" w:hAnsi="仿宋" w:eastAsia="仿宋" w:cs="仿宋"/>
          <w:b/>
          <w:bCs/>
          <w:sz w:val="32"/>
          <w:szCs w:val="32"/>
          <w:lang w:val="en-US" w:eastAsia="zh-CN"/>
        </w:rPr>
      </w:pPr>
      <w:r>
        <w:rPr>
          <w:rFonts w:hint="eastAsia" w:ascii="黑体" w:hAnsi="黑体" w:eastAsia="黑体" w:cs="黑体"/>
          <w:b/>
          <w:bCs/>
          <w:sz w:val="32"/>
          <w:szCs w:val="32"/>
          <w:lang w:val="en-US" w:eastAsia="zh-CN"/>
        </w:rPr>
        <w:t>三、</w:t>
      </w:r>
      <w:r>
        <w:rPr>
          <w:rFonts w:hint="eastAsia" w:ascii="仿宋_GB2312" w:hAnsi="仿宋_GB2312" w:eastAsia="仿宋_GB2312" w:cs="仿宋_GB2312"/>
          <w:b/>
          <w:bCs/>
          <w:sz w:val="32"/>
          <w:szCs w:val="32"/>
        </w:rPr>
        <w:t>服务期限：</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lang w:eastAsia="zh-CN"/>
        </w:rPr>
        <w:t>，合同一年一签。经考核合格后续签下一年合同，</w:t>
      </w:r>
      <w:r>
        <w:rPr>
          <w:rFonts w:hint="eastAsia" w:ascii="仿宋_GB2312" w:hAnsi="仿宋_GB2312" w:eastAsia="仿宋_GB2312" w:cs="仿宋_GB2312"/>
          <w:b/>
          <w:bCs/>
          <w:sz w:val="32"/>
          <w:szCs w:val="32"/>
          <w:lang w:val="en-US" w:eastAsia="zh-CN"/>
        </w:rPr>
        <w:t>如</w:t>
      </w:r>
      <w:r>
        <w:rPr>
          <w:rFonts w:hint="eastAsia" w:ascii="仿宋_GB2312" w:hAnsi="仿宋_GB2312" w:eastAsia="仿宋_GB2312" w:cs="仿宋_GB2312"/>
          <w:b/>
          <w:bCs/>
          <w:sz w:val="32"/>
          <w:szCs w:val="32"/>
        </w:rPr>
        <w:t>考核不合格，医院有权终止采购合同。</w:t>
      </w:r>
      <w:r>
        <w:rPr>
          <w:rFonts w:hint="eastAsia" w:ascii="仿宋_GB2312" w:hAnsi="仿宋_GB2312" w:eastAsia="仿宋_GB2312" w:cs="仿宋_GB2312"/>
          <w:b/>
          <w:bCs/>
          <w:sz w:val="32"/>
          <w:szCs w:val="32"/>
          <w:lang w:val="en-US" w:eastAsia="zh-CN"/>
        </w:rPr>
        <w:t xml:space="preserve">    </w:t>
      </w:r>
    </w:p>
    <w:p w14:paraId="0DED3127">
      <w:pPr>
        <w:pStyle w:val="2"/>
        <w:keepNext w:val="0"/>
        <w:keepLines w:val="0"/>
        <w:pageBreakBefore w:val="0"/>
        <w:widowControl w:val="0"/>
        <w:kinsoku/>
        <w:wordWrap/>
        <w:overflowPunct/>
        <w:topLinePunct w:val="0"/>
        <w:autoSpaceDE/>
        <w:autoSpaceDN/>
        <w:bidi w:val="0"/>
        <w:adjustRightInd/>
        <w:snapToGrid/>
        <w:spacing w:line="540" w:lineRule="exac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四、服务条款</w:t>
      </w:r>
      <w:r>
        <w:rPr>
          <w:rFonts w:hint="eastAsia" w:ascii="仿宋_GB2312" w:hAnsi="仿宋_GB2312" w:eastAsia="仿宋_GB2312" w:cs="仿宋_GB2312"/>
          <w:b/>
          <w:bCs/>
          <w:sz w:val="32"/>
          <w:szCs w:val="32"/>
          <w:lang w:eastAsia="zh-CN"/>
        </w:rPr>
        <w:t>总体要求</w:t>
      </w:r>
    </w:p>
    <w:p w14:paraId="542AAD4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eastAsia="zh-CN"/>
        </w:rPr>
        <w:t>（一）</w:t>
      </w:r>
      <w:r>
        <w:rPr>
          <w:rFonts w:hint="eastAsia" w:ascii="仿宋_GB2312" w:hAnsi="仿宋_GB2312" w:eastAsia="仿宋_GB2312" w:cs="仿宋_GB2312"/>
          <w:b w:val="0"/>
          <w:bCs w:val="0"/>
          <w:sz w:val="32"/>
          <w:szCs w:val="32"/>
          <w:lang w:val="en-US" w:eastAsia="zh-CN"/>
        </w:rPr>
        <w:t>残疾人招录与派遣：我院与中标公司签订《劳务派遣服务协议》后，由中标公司负责本项目残疾员工的招聘工作，由中标公司与残疾员工正式签署劳动合同并派遣至我院。</w:t>
      </w:r>
    </w:p>
    <w:p w14:paraId="11603B1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eastAsia="zh-CN"/>
        </w:rPr>
        <w:t>（二）</w:t>
      </w:r>
      <w:r>
        <w:rPr>
          <w:rFonts w:hint="eastAsia" w:ascii="仿宋_GB2312" w:hAnsi="仿宋_GB2312" w:eastAsia="仿宋_GB2312" w:cs="仿宋_GB2312"/>
          <w:b w:val="0"/>
          <w:bCs w:val="0"/>
          <w:sz w:val="32"/>
          <w:szCs w:val="32"/>
          <w:lang w:val="en-US" w:eastAsia="zh-CN"/>
        </w:rPr>
        <w:t>劳动合同管理：中标公司负责所派遣残疾人的劳动合同签订与管理，依法与每位被派遣残疾人签订一年的正式劳动合同。</w:t>
      </w:r>
    </w:p>
    <w:p w14:paraId="4B6F692E">
      <w:pPr>
        <w:ind w:firstLine="640" w:firstLineChars="200"/>
        <w:rPr>
          <w:rFonts w:hint="eastAsia"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三</w:t>
      </w:r>
      <w:r>
        <w:rPr>
          <w:rFonts w:hint="default"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薪酬发放：中标公司负责所派遣残疾人的工资薪酬发放并通过银行转账发放，留存完整的工资发放银行流水。凡因事假、病假等个人原因未提供劳动的，中标公司应按其当月日均工资标准及实际缺勤天数折算扣减其工资，扣减部分从中标公司支付给个人的工资总额中体现。医院将按实际考勤支付中标公司工资。</w:t>
      </w:r>
    </w:p>
    <w:p w14:paraId="3DBB2D3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eastAsia="zh-CN"/>
        </w:rPr>
        <w:t>（四）</w:t>
      </w:r>
      <w:r>
        <w:rPr>
          <w:rFonts w:hint="eastAsia" w:ascii="仿宋_GB2312" w:hAnsi="仿宋_GB2312" w:eastAsia="仿宋_GB2312" w:cs="仿宋_GB2312"/>
          <w:b w:val="0"/>
          <w:bCs w:val="0"/>
          <w:sz w:val="32"/>
          <w:szCs w:val="32"/>
          <w:lang w:val="en-US" w:eastAsia="zh-CN"/>
        </w:rPr>
        <w:t>五险缴纳：中标公司按照我市规定为所派遣到我院的残疾人购买五险。</w:t>
      </w:r>
    </w:p>
    <w:p w14:paraId="37FFF9C9">
      <w:pPr>
        <w:ind w:firstLine="640" w:firstLineChars="200"/>
        <w:rPr>
          <w:rFonts w:hint="eastAsia"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eastAsia="zh-CN"/>
        </w:rPr>
        <w:t>（五）</w:t>
      </w:r>
      <w:r>
        <w:rPr>
          <w:rFonts w:hint="eastAsia" w:ascii="仿宋_GB2312" w:hAnsi="仿宋_GB2312" w:eastAsia="仿宋_GB2312" w:cs="仿宋_GB2312"/>
          <w:b w:val="0"/>
          <w:bCs w:val="0"/>
          <w:sz w:val="32"/>
          <w:szCs w:val="32"/>
          <w:lang w:val="en-US" w:eastAsia="zh-CN"/>
        </w:rPr>
        <w:t>法律责任：中标公司作为用人单位，必须为其派遣至我院的所有残疾人承担其作为雇主应负的全部法律责任。如服务人员在工作中发生工伤、疾病、意外伤害乃至死亡，所涉及的一切法律责任、经济赔偿及善后处理费用，均由中标公司全部负责。医院在支付月度费用时，有权要求中标公司提供相关保险的有效凭证。</w:t>
      </w:r>
    </w:p>
    <w:p w14:paraId="5CAE6963">
      <w:pPr>
        <w:ind w:firstLine="640" w:firstLineChars="200"/>
        <w:rPr>
          <w:rFonts w:hint="eastAsia"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eastAsia="zh-CN"/>
        </w:rPr>
        <w:t>（六）残疾人计数：</w:t>
      </w:r>
      <w:r>
        <w:rPr>
          <w:rFonts w:hint="eastAsia" w:ascii="仿宋_GB2312" w:hAnsi="仿宋_GB2312" w:eastAsia="仿宋_GB2312" w:cs="仿宋_GB2312"/>
          <w:b w:val="0"/>
          <w:bCs w:val="0"/>
          <w:sz w:val="32"/>
          <w:szCs w:val="32"/>
          <w:lang w:val="en-US" w:eastAsia="zh-CN"/>
        </w:rPr>
        <w:t>中标公司和我院签订协议，将残疾人数计入我院实际安排残疾人就业和在职职工数，中标公司不得重复计算。</w:t>
      </w:r>
    </w:p>
    <w:p w14:paraId="60452648">
      <w:pPr>
        <w:ind w:firstLine="640" w:firstLineChars="200"/>
        <w:rPr>
          <w:rFonts w:hint="eastAsia" w:ascii="仿宋_GB2312" w:hAnsi="仿宋_GB2312" w:eastAsia="仿宋_GB2312" w:cs="仿宋_GB2312"/>
          <w:b w:val="0"/>
          <w:bCs w:val="0"/>
          <w:color w:val="auto"/>
          <w:sz w:val="32"/>
          <w:szCs w:val="32"/>
          <w:lang w:val="en-US" w:eastAsia="zh-CN"/>
        </w:rPr>
      </w:pPr>
      <w:r>
        <w:rPr>
          <w:rFonts w:hint="default"/>
          <w:b w:val="0"/>
          <w:bCs w:val="0"/>
          <w:sz w:val="32"/>
          <w:szCs w:val="32"/>
          <w:lang w:eastAsia="zh-CN"/>
        </w:rPr>
        <w:t>（七）</w:t>
      </w:r>
      <w:r>
        <w:rPr>
          <w:rFonts w:hint="eastAsia" w:ascii="仿宋_GB2312" w:hAnsi="仿宋_GB2312" w:eastAsia="仿宋_GB2312" w:cs="仿宋_GB2312"/>
          <w:b w:val="0"/>
          <w:bCs w:val="0"/>
          <w:color w:val="auto"/>
          <w:sz w:val="32"/>
          <w:szCs w:val="32"/>
          <w:lang w:val="en-US" w:eastAsia="zh-CN"/>
        </w:rPr>
        <w:t>费用支付方式：</w:t>
      </w:r>
      <w:r>
        <w:rPr>
          <w:rFonts w:hint="default" w:ascii="仿宋_GB2312" w:hAnsi="仿宋_GB2312" w:eastAsia="仿宋_GB2312" w:cs="仿宋_GB2312"/>
          <w:b w:val="0"/>
          <w:bCs w:val="0"/>
          <w:color w:val="auto"/>
          <w:sz w:val="32"/>
          <w:szCs w:val="32"/>
          <w:lang w:eastAsia="zh-CN"/>
        </w:rPr>
        <w:t>我院</w:t>
      </w:r>
      <w:r>
        <w:rPr>
          <w:rFonts w:hint="eastAsia" w:ascii="仿宋_GB2312" w:hAnsi="仿宋_GB2312" w:eastAsia="仿宋_GB2312" w:cs="仿宋_GB2312"/>
          <w:b w:val="0"/>
          <w:bCs w:val="0"/>
          <w:color w:val="auto"/>
          <w:sz w:val="32"/>
          <w:szCs w:val="32"/>
          <w:lang w:val="en-US" w:eastAsia="zh-CN"/>
        </w:rPr>
        <w:t>向中标公司支付的费用采用按月</w:t>
      </w:r>
      <w:r>
        <w:rPr>
          <w:rFonts w:hint="default" w:ascii="仿宋_GB2312" w:hAnsi="仿宋_GB2312" w:eastAsia="仿宋_GB2312" w:cs="仿宋_GB2312"/>
          <w:b w:val="0"/>
          <w:bCs w:val="0"/>
          <w:color w:val="auto"/>
          <w:sz w:val="32"/>
          <w:szCs w:val="32"/>
          <w:lang w:eastAsia="zh-CN"/>
        </w:rPr>
        <w:t>（次月下旬）</w:t>
      </w:r>
      <w:r>
        <w:rPr>
          <w:rFonts w:hint="eastAsia" w:ascii="仿宋_GB2312" w:hAnsi="仿宋_GB2312" w:eastAsia="仿宋_GB2312" w:cs="仿宋_GB2312"/>
          <w:b w:val="0"/>
          <w:bCs w:val="0"/>
          <w:color w:val="auto"/>
          <w:sz w:val="32"/>
          <w:szCs w:val="32"/>
          <w:lang w:val="en-US" w:eastAsia="zh-CN"/>
        </w:rPr>
        <w:t>结算支付的方式。</w:t>
      </w:r>
    </w:p>
    <w:p w14:paraId="2573DE2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五、采购方式：院内采购</w:t>
      </w:r>
    </w:p>
    <w:p w14:paraId="265D835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六、资金来源：自有资金</w:t>
      </w:r>
    </w:p>
    <w:p w14:paraId="5C3C68D9">
      <w:pPr>
        <w:ind w:firstLine="640" w:firstLineChars="200"/>
        <w:rPr>
          <w:rFonts w:hint="default" w:ascii="仿宋_GB2312" w:hAnsi="仿宋_GB2312" w:eastAsia="仿宋_GB2312" w:cs="仿宋_GB2312"/>
          <w:b w:val="0"/>
          <w:bCs w:val="0"/>
          <w:color w:val="auto"/>
          <w:sz w:val="32"/>
          <w:szCs w:val="32"/>
          <w:lang w:eastAsia="zh-CN"/>
        </w:rPr>
      </w:pPr>
    </w:p>
    <w:p w14:paraId="3CF8C96A">
      <w:pPr>
        <w:ind w:firstLine="640" w:firstLineChars="200"/>
        <w:rPr>
          <w:rFonts w:hint="default" w:ascii="仿宋_GB2312" w:hAnsi="仿宋_GB2312" w:eastAsia="仿宋_GB2312" w:cs="仿宋_GB2312"/>
          <w:b w:val="0"/>
          <w:bCs w:val="0"/>
          <w:color w:val="auto"/>
          <w:sz w:val="32"/>
          <w:szCs w:val="32"/>
          <w:lang w:eastAsia="zh-CN"/>
        </w:rPr>
      </w:pPr>
    </w:p>
    <w:p w14:paraId="7E2AEA04">
      <w:pPr>
        <w:ind w:firstLine="640" w:firstLineChars="200"/>
        <w:rPr>
          <w:rFonts w:hint="default" w:ascii="仿宋_GB2312" w:hAnsi="仿宋_GB2312" w:eastAsia="仿宋_GB2312" w:cs="仿宋_GB2312"/>
          <w:b w:val="0"/>
          <w:bCs w:val="0"/>
          <w:color w:val="auto"/>
          <w:sz w:val="32"/>
          <w:szCs w:val="32"/>
          <w:lang w:eastAsia="zh-CN"/>
        </w:rPr>
      </w:pPr>
    </w:p>
    <w:p w14:paraId="3158E462">
      <w:pPr>
        <w:ind w:firstLine="640" w:firstLineChars="200"/>
        <w:rPr>
          <w:rFonts w:hint="default" w:ascii="仿宋_GB2312" w:hAnsi="仿宋_GB2312" w:eastAsia="仿宋_GB2312" w:cs="仿宋_GB2312"/>
          <w:b w:val="0"/>
          <w:bCs w:val="0"/>
          <w:color w:val="auto"/>
          <w:sz w:val="32"/>
          <w:szCs w:val="32"/>
          <w:lang w:eastAsia="zh-CN"/>
        </w:rPr>
      </w:pPr>
    </w:p>
    <w:p w14:paraId="5AF52362">
      <w:pPr>
        <w:ind w:firstLine="640" w:firstLineChars="200"/>
        <w:rPr>
          <w:rFonts w:hint="default" w:ascii="仿宋_GB2312" w:hAnsi="仿宋_GB2312" w:eastAsia="仿宋_GB2312" w:cs="仿宋_GB2312"/>
          <w:b w:val="0"/>
          <w:bCs w:val="0"/>
          <w:color w:val="auto"/>
          <w:sz w:val="32"/>
          <w:szCs w:val="32"/>
          <w:lang w:eastAsia="zh-CN"/>
        </w:rPr>
      </w:pPr>
    </w:p>
    <w:p w14:paraId="235C04BA">
      <w:pPr>
        <w:ind w:firstLine="640" w:firstLineChars="200"/>
        <w:rPr>
          <w:rFonts w:hint="default" w:ascii="仿宋_GB2312" w:hAnsi="仿宋_GB2312" w:eastAsia="仿宋_GB2312" w:cs="仿宋_GB2312"/>
          <w:b w:val="0"/>
          <w:bCs w:val="0"/>
          <w:color w:val="auto"/>
          <w:sz w:val="32"/>
          <w:szCs w:val="32"/>
          <w:lang w:eastAsia="zh-CN"/>
        </w:rPr>
      </w:pPr>
    </w:p>
    <w:p w14:paraId="28D0970B">
      <w:pPr>
        <w:ind w:firstLine="640" w:firstLineChars="200"/>
        <w:rPr>
          <w:rFonts w:hint="default" w:ascii="仿宋_GB2312" w:hAnsi="仿宋_GB2312" w:eastAsia="仿宋_GB2312" w:cs="仿宋_GB2312"/>
          <w:b w:val="0"/>
          <w:bCs w:val="0"/>
          <w:color w:val="auto"/>
          <w:sz w:val="32"/>
          <w:szCs w:val="32"/>
          <w:lang w:eastAsia="zh-CN"/>
        </w:rPr>
      </w:pPr>
    </w:p>
    <w:p w14:paraId="1023A61D">
      <w:pPr>
        <w:ind w:firstLine="640" w:firstLineChars="200"/>
        <w:rPr>
          <w:rFonts w:hint="default" w:ascii="仿宋_GB2312" w:hAnsi="仿宋_GB2312" w:eastAsia="仿宋_GB2312" w:cs="仿宋_GB2312"/>
          <w:b w:val="0"/>
          <w:bCs w:val="0"/>
          <w:color w:val="auto"/>
          <w:sz w:val="32"/>
          <w:szCs w:val="32"/>
          <w:lang w:eastAsia="zh-CN"/>
        </w:rPr>
      </w:pPr>
    </w:p>
    <w:p w14:paraId="00EEF4D0">
      <w:pPr>
        <w:keepNext w:val="0"/>
        <w:keepLines w:val="0"/>
        <w:widowControl/>
        <w:suppressLineNumbers w:val="0"/>
        <w:jc w:val="both"/>
        <w:textAlignment w:val="center"/>
        <w:rPr>
          <w:rFonts w:hint="eastAsia" w:ascii="方正小标宋简体" w:hAnsi="方正小标宋简体" w:eastAsia="方正小标宋简体" w:cs="方正小标宋简体"/>
          <w:i w:val="0"/>
          <w:iCs w:val="0"/>
          <w:color w:val="000000"/>
          <w:kern w:val="0"/>
          <w:sz w:val="36"/>
          <w:szCs w:val="36"/>
          <w:u w:val="none"/>
          <w:lang w:val="en-US" w:eastAsia="zh-CN" w:bidi="ar"/>
        </w:rPr>
        <w:sectPr>
          <w:pgSz w:w="11906" w:h="16838"/>
          <w:pgMar w:top="2098" w:right="1474" w:bottom="1984" w:left="1587" w:header="851" w:footer="992" w:gutter="0"/>
          <w:cols w:space="425" w:num="1"/>
          <w:docGrid w:type="lines" w:linePitch="312" w:charSpace="0"/>
        </w:sectPr>
      </w:pPr>
      <w:r>
        <w:rPr>
          <w:rFonts w:hint="eastAsia" w:ascii="方正小标宋简体" w:hAnsi="方正小标宋简体" w:eastAsia="方正小标宋简体" w:cs="方正小标宋简体"/>
          <w:i w:val="0"/>
          <w:iCs w:val="0"/>
          <w:color w:val="000000"/>
          <w:kern w:val="0"/>
          <w:sz w:val="36"/>
          <w:szCs w:val="36"/>
          <w:u w:val="none"/>
          <w:lang w:val="en-US" w:eastAsia="zh-CN" w:bidi="ar"/>
        </w:rPr>
        <w:br w:type="page"/>
      </w:r>
    </w:p>
    <w:tbl>
      <w:tblPr>
        <w:tblStyle w:val="3"/>
        <w:tblW w:w="12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2"/>
        <w:gridCol w:w="1425"/>
        <w:gridCol w:w="6788"/>
        <w:gridCol w:w="984"/>
        <w:gridCol w:w="732"/>
        <w:gridCol w:w="391"/>
        <w:gridCol w:w="473"/>
        <w:gridCol w:w="473"/>
        <w:gridCol w:w="354"/>
        <w:gridCol w:w="620"/>
      </w:tblGrid>
      <w:tr w14:paraId="21A86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2972" w:type="dxa"/>
            <w:gridSpan w:val="10"/>
            <w:tcBorders>
              <w:top w:val="nil"/>
              <w:left w:val="nil"/>
              <w:bottom w:val="nil"/>
              <w:right w:val="nil"/>
            </w:tcBorders>
            <w:shd w:val="clear" w:color="auto" w:fill="auto"/>
            <w:vAlign w:val="center"/>
          </w:tcPr>
          <w:p w14:paraId="1C0C55BC">
            <w:pPr>
              <w:keepNext w:val="0"/>
              <w:keepLines w:val="0"/>
              <w:widowControl/>
              <w:suppressLineNumbers w:val="0"/>
              <w:snapToGrid w:val="0"/>
              <w:ind w:left="0" w:leftChars="0" w:right="0" w:rightChars="0" w:firstLine="0" w:firstLineChars="0"/>
              <w:jc w:val="center"/>
              <w:textAlignment w:val="center"/>
              <w:rPr>
                <w:rFonts w:ascii="方正小标宋简体" w:hAnsi="方正小标宋简体" w:eastAsia="方正小标宋简体" w:cs="方正小标宋简体"/>
                <w:i w:val="0"/>
                <w:iCs w:val="0"/>
                <w:color w:val="000000"/>
                <w:sz w:val="36"/>
                <w:szCs w:val="36"/>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遂宁市民康医院劳务派遣（残疾）人员月质量考核评价表</w:t>
            </w:r>
          </w:p>
        </w:tc>
      </w:tr>
      <w:tr w14:paraId="2F15A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A440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DF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B399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D518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标准分</w:t>
            </w:r>
          </w:p>
        </w:tc>
        <w:tc>
          <w:tcPr>
            <w:tcW w:w="300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28A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被考核人员</w:t>
            </w:r>
          </w:p>
        </w:tc>
      </w:tr>
      <w:tr w14:paraId="35074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C336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370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2FD0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93D9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E4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42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2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22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B3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C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7A28C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66BD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6F6A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2CE3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E933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46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姓名</w:t>
            </w: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6651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2B1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B94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3AF1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2576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15D7D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213F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205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CD45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5CD2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AA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得分</w:t>
            </w: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76CB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68D8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95C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6D62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51E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2A5E6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8375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FA13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 (15分)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AD1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为人正直，作风正派，爱岗敬业，乐于助人。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5E1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C3CF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136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89E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6C8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AE926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D96A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007A7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ABC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B466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6FD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具有良好职业道德。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58D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4AE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5B5F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AB6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45F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D44F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895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195B1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EF4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0E1A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01BC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工作上努力做到求真务实，有令必行，有禁必止。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CE2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DDB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C23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92F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E0E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93FA3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75E5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29302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0BCC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3DD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能 (15分)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35B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具有胜任本职工作的实际工作能力。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AA3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FE39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3F6D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6173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FD0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5E02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A885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14F21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CC0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2850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B2E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具有较丰富的专业理论知识和工作技能。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FE7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DFF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D2E8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639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D11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1AEB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E1A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63255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515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A7E2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13D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具有较强的开拓创新能力。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1F7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A4E1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nil"/>
              <w:left w:val="nil"/>
              <w:bottom w:val="nil"/>
              <w:right w:val="nil"/>
            </w:tcBorders>
            <w:shd w:val="clear" w:color="auto" w:fill="auto"/>
            <w:noWrap/>
            <w:vAlign w:val="center"/>
          </w:tcPr>
          <w:p w14:paraId="4933950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E37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056D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B37B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AB0F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62D6A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445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3FE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勤 (10分)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EBD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具有高度的事业心和责任感，刻苦学习，勤于思考。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AEC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E7B7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813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A4B8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3B10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4B42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0BBA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6CD88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03B6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4DF8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8B7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艰苦奋斗，实干创业。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060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9B86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C834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FC2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4D78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C1D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03A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330CF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F8D3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DF4E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F09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敬业勤勉，遵守劳动纪律。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BEB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78D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5E1E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68A1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58C9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20A1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A019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4F8F0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17A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15E610">
            <w:pPr>
              <w:keepNext w:val="0"/>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绩(45分)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B3E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工作效率高，业绩突出。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FE0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B0C3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CC5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3013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B90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58F3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EDA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42103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26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E53A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D17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工作质量高，制度坚持好。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BFE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947B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DE97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6B8E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96C2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20F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5E2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21D2E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CF94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BD78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CA9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工作方法科学灵活，执行力强。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E9B7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91EC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8326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350D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113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E00D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C331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0C917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D9A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A678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EC99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有较强的民主意识和团队协作精神。</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270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3958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2D06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ED6F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061D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AF9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A2CC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573F8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F128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1EE6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32D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具有顽强拼搏、勇争第一的工作魄力和勇气。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B56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A15A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857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809C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B75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328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12B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0B8BE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137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A8AB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廉(15分）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92E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遵守党纪国法，遵守廉洁从业规定。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35C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486E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3B09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FB44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B45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9D1E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3355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77B6A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FC2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DCF2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E5C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严于律己，勤俭节约，无违法违纪现象。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257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B991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D4F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9C25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AB9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3A52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B6CA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44674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1F9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926B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A803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自觉接受各级组织和员工群众的监督，履行岗位廉洁责任制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102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1CEA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920F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DFE7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667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3D59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2DED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39CDA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46CF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kern w:val="0"/>
                <w:sz w:val="24"/>
                <w:szCs w:val="24"/>
                <w:u w:val="none"/>
                <w:lang w:val="en-US" w:eastAsia="zh-CN" w:bidi="ar"/>
              </w:rPr>
              <w:t>19</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707F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0A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8C7E8">
            <w:pPr>
              <w:snapToGrid w:val="0"/>
              <w:ind w:left="0" w:leftChars="0" w:right="0" w:rightChars="0" w:firstLine="0" w:firstLineChars="0"/>
              <w:jc w:val="center"/>
              <w:rPr>
                <w:rFonts w:hint="eastAsia" w:ascii="宋体" w:hAnsi="宋体" w:eastAsia="宋体" w:cs="宋体"/>
                <w:b/>
                <w:i w:val="0"/>
                <w:iCs w:val="0"/>
                <w:color w:val="000000"/>
                <w:sz w:val="24"/>
                <w:szCs w:val="24"/>
                <w:u w:val="none"/>
              </w:rPr>
            </w:pPr>
          </w:p>
        </w:tc>
        <w:tc>
          <w:tcPr>
            <w:tcW w:w="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D6F4">
            <w:pPr>
              <w:snapToGrid w:val="0"/>
              <w:ind w:left="0" w:leftChars="0" w:right="0" w:rightChars="0" w:firstLine="0" w:firstLineChars="0"/>
              <w:jc w:val="center"/>
              <w:rPr>
                <w:rFonts w:hint="eastAsia" w:ascii="宋体" w:hAnsi="宋体" w:eastAsia="宋体" w:cs="宋体"/>
                <w:b/>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D0EDD">
            <w:pPr>
              <w:snapToGrid w:val="0"/>
              <w:ind w:left="0" w:leftChars="0" w:right="0" w:rightChars="0" w:firstLine="0" w:firstLineChars="0"/>
              <w:jc w:val="center"/>
              <w:rPr>
                <w:rFonts w:hint="eastAsia" w:ascii="宋体" w:hAnsi="宋体" w:eastAsia="宋体" w:cs="宋体"/>
                <w:b/>
                <w:i w:val="0"/>
                <w:iCs w:val="0"/>
                <w:color w:val="000000"/>
                <w:sz w:val="24"/>
                <w:szCs w:val="24"/>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0CE6">
            <w:pPr>
              <w:snapToGrid w:val="0"/>
              <w:ind w:left="0" w:leftChars="0" w:right="0" w:rightChars="0" w:firstLine="0" w:firstLineChars="0"/>
              <w:jc w:val="center"/>
              <w:rPr>
                <w:rFonts w:hint="eastAsia" w:ascii="宋体" w:hAnsi="宋体" w:eastAsia="宋体" w:cs="宋体"/>
                <w:b/>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4F57">
            <w:pPr>
              <w:snapToGrid w:val="0"/>
              <w:ind w:left="0" w:leftChars="0" w:right="0" w:rightChars="0" w:firstLine="0" w:firstLineChars="0"/>
              <w:jc w:val="center"/>
              <w:rPr>
                <w:rFonts w:hint="eastAsia" w:ascii="宋体" w:hAnsi="宋体" w:eastAsia="宋体" w:cs="宋体"/>
                <w:b/>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BA900">
            <w:pPr>
              <w:snapToGrid w:val="0"/>
              <w:ind w:left="0" w:leftChars="0" w:right="0" w:rightChars="0" w:firstLine="0" w:firstLineChars="0"/>
              <w:jc w:val="center"/>
              <w:rPr>
                <w:rFonts w:hint="eastAsia" w:ascii="宋体" w:hAnsi="宋体" w:eastAsia="宋体" w:cs="宋体"/>
                <w:b/>
                <w:i w:val="0"/>
                <w:iCs w:val="0"/>
                <w:color w:val="000000"/>
                <w:sz w:val="24"/>
                <w:szCs w:val="24"/>
                <w:u w:val="none"/>
              </w:rPr>
            </w:pPr>
          </w:p>
        </w:tc>
      </w:tr>
      <w:tr w14:paraId="37FEA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297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965E371">
            <w:pPr>
              <w:keepNext w:val="0"/>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考核组：                     分管领导：                       考核日期：</w:t>
            </w:r>
          </w:p>
        </w:tc>
      </w:tr>
      <w:tr w14:paraId="58354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2972" w:type="dxa"/>
            <w:gridSpan w:val="10"/>
            <w:tcBorders>
              <w:top w:val="nil"/>
              <w:left w:val="nil"/>
              <w:bottom w:val="nil"/>
              <w:right w:val="nil"/>
            </w:tcBorders>
            <w:shd w:val="clear" w:color="auto" w:fill="auto"/>
            <w:vAlign w:val="center"/>
          </w:tcPr>
          <w:p w14:paraId="0CED5C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说明：满分为100分。考核分在95分及以上为合格；80分-94分为基本合格，诫勉谈话；80分以下为不合格，给予辞退。                                                             </w:t>
            </w:r>
          </w:p>
        </w:tc>
      </w:tr>
    </w:tbl>
    <w:p w14:paraId="3FA669D5">
      <w:pPr>
        <w:keepNext w:val="0"/>
        <w:keepLines w:val="0"/>
        <w:widowControl/>
        <w:suppressLineNumbers w:val="0"/>
        <w:jc w:val="center"/>
        <w:textAlignment w:val="center"/>
        <w:rPr>
          <w:rFonts w:hint="eastAsia" w:ascii="方正小标宋简体" w:hAnsi="方正小标宋简体" w:eastAsia="方正小标宋简体" w:cs="方正小标宋简体"/>
          <w:i w:val="0"/>
          <w:iCs w:val="0"/>
          <w:color w:val="000000"/>
          <w:kern w:val="0"/>
          <w:sz w:val="36"/>
          <w:szCs w:val="36"/>
          <w:u w:val="none"/>
          <w:lang w:val="en-US" w:eastAsia="zh-CN" w:bidi="ar"/>
        </w:rPr>
      </w:pPr>
    </w:p>
    <w:p w14:paraId="049BB52A">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黑体" w:hAnsi="黑体" w:eastAsia="黑体" w:cs="黑体"/>
          <w:b w:val="0"/>
          <w:bCs w:val="0"/>
          <w:sz w:val="32"/>
          <w:szCs w:val="32"/>
          <w:lang w:eastAsia="zh-CN"/>
        </w:rPr>
      </w:pPr>
    </w:p>
    <w:sectPr>
      <w:pgSz w:w="16838" w:h="11906" w:orient="landscape"/>
      <w:pgMar w:top="1587" w:right="2098" w:bottom="1474"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331D816-5F75-46BE-A5D4-F9F91B5DC8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BAD66248-8709-4540-B2D1-9AECA7686715}"/>
  </w:font>
  <w:font w:name="仿宋_GB2312">
    <w:panose1 w:val="02010609030101010101"/>
    <w:charset w:val="86"/>
    <w:family w:val="auto"/>
    <w:pitch w:val="default"/>
    <w:sig w:usb0="00000001" w:usb1="080E0000" w:usb2="00000000" w:usb3="00000000" w:csb0="00040000" w:csb1="00000000"/>
    <w:embedRegular r:id="rId3" w:fontKey="{4D5F518A-AE3D-4484-B726-C02461938F2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5A1CBB"/>
    <w:rsid w:val="097D251D"/>
    <w:rsid w:val="134977B5"/>
    <w:rsid w:val="14393E8B"/>
    <w:rsid w:val="1CAE2016"/>
    <w:rsid w:val="1F760807"/>
    <w:rsid w:val="2426102C"/>
    <w:rsid w:val="2536579D"/>
    <w:rsid w:val="2A5855FB"/>
    <w:rsid w:val="340001C8"/>
    <w:rsid w:val="46771A68"/>
    <w:rsid w:val="4A4726B6"/>
    <w:rsid w:val="4BD66887"/>
    <w:rsid w:val="4BF556D6"/>
    <w:rsid w:val="5C6D567F"/>
    <w:rsid w:val="5E790E8D"/>
    <w:rsid w:val="65681A8C"/>
    <w:rsid w:val="686B65DA"/>
    <w:rsid w:val="6AE3499D"/>
    <w:rsid w:val="714457AD"/>
    <w:rsid w:val="745A3932"/>
    <w:rsid w:val="7DDD29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unhideWhenUsed/>
    <w:qFormat/>
    <w:uiPriority w:val="0"/>
    <w:rPr>
      <w:rFonts w:ascii="宋体" w:hAnsi="Courier New"/>
      <w:szCs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Body Text First Indent 21"/>
    <w:basedOn w:val="1"/>
    <w:qFormat/>
    <w:uiPriority w:val="99"/>
    <w:pPr>
      <w:ind w:left="420" w:leftChars="200"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1457</Words>
  <Characters>1509</Characters>
  <Lines>0</Lines>
  <Paragraphs>0</Paragraphs>
  <TotalTime>0</TotalTime>
  <ScaleCrop>false</ScaleCrop>
  <LinksUpToDate>false</LinksUpToDate>
  <CharactersWithSpaces>1632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2026-04-08T06:33:00Z</dcterms:created>
  <dc:creator>Administrator</dc:creator>
  <cp:lastModifiedBy>Lenovo</cp:lastModifiedBy>
  <cp:lastPrinted>2026-04-24T03:14:00Z</cp:lastPrinted>
  <dcterms:modified xsi:type="dcterms:W3CDTF">2026-04-24T07:29:37Z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eyJoZGlkIjoiYTk3MmIxMWRjODE5Yjc2YTcyMmVmZmJiMTNhMDA3MzUiLCJ1c2VySWQiOiIyNTkyNTEwMjAifQ==</vt:lpwstr>
  </property>
  <property fmtid="{D5CDD505-2E9C-101B-9397-08002B2CF9AE}" pid="4" name="ICV">
    <vt:lpwstr>6DE586BFBBAE4A94B693BE1842D48FFD_13</vt:lpwstr>
  </property>
</Properties>
</file>